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97658" w:rsidRDefault="00A97658" w:rsidP="00A97658">
      <w:pPr>
        <w:spacing w:after="240"/>
        <w:contextualSpacing/>
        <w:rPr>
          <w:rFonts w:ascii="Calibri" w:eastAsia="Times New Roman" w:hAnsi="Calibri" w:cs="Calibri"/>
          <w:b/>
          <w:bCs/>
          <w:color w:val="000000"/>
          <w:kern w:val="0"/>
          <w:sz w:val="28"/>
          <w:szCs w:val="28"/>
          <w:lang w:eastAsia="de-DE"/>
          <w14:ligatures w14:val="none"/>
        </w:rPr>
      </w:pPr>
      <w:r w:rsidRPr="00A97658">
        <w:rPr>
          <w:rFonts w:ascii="Calibri" w:eastAsia="Times New Roman" w:hAnsi="Calibri" w:cs="Calibri"/>
          <w:b/>
          <w:bCs/>
          <w:color w:val="000000"/>
          <w:kern w:val="0"/>
          <w:sz w:val="28"/>
          <w:szCs w:val="28"/>
          <w:lang w:eastAsia="de-DE"/>
          <w14:ligatures w14:val="none"/>
        </w:rPr>
        <w:t xml:space="preserve">Internationale Sonderausstellung  </w:t>
      </w:r>
    </w:p>
    <w:p w:rsidR="00A97658" w:rsidRPr="00A97658" w:rsidRDefault="00A97658" w:rsidP="00A97658">
      <w:pPr>
        <w:spacing w:after="240"/>
        <w:contextualSpacing/>
        <w:rPr>
          <w:rFonts w:ascii="Calibri" w:eastAsia="Times New Roman" w:hAnsi="Calibri" w:cs="Calibri"/>
          <w:color w:val="000000"/>
          <w:kern w:val="0"/>
          <w:sz w:val="28"/>
          <w:szCs w:val="28"/>
          <w:lang w:eastAsia="de-DE"/>
          <w14:ligatures w14:val="none"/>
        </w:rPr>
      </w:pPr>
      <w:r w:rsidRPr="00A97658">
        <w:rPr>
          <w:rFonts w:ascii="Calibri" w:eastAsia="Times New Roman" w:hAnsi="Calibri" w:cs="Calibri"/>
          <w:b/>
          <w:bCs/>
          <w:color w:val="000000"/>
          <w:kern w:val="0"/>
          <w:sz w:val="28"/>
          <w:szCs w:val="28"/>
          <w:lang w:eastAsia="de-DE"/>
          <w14:ligatures w14:val="none"/>
        </w:rPr>
        <w:t>„Rembrandt 1632. Entstehung einer Marke“</w:t>
      </w:r>
      <w:r w:rsidRPr="00A97658">
        <w:rPr>
          <w:rFonts w:ascii="Calibri" w:eastAsia="Times New Roman" w:hAnsi="Calibri" w:cs="Calibri"/>
          <w:color w:val="000000"/>
          <w:kern w:val="0"/>
          <w:sz w:val="28"/>
          <w:szCs w:val="28"/>
          <w:lang w:eastAsia="de-DE"/>
          <w14:ligatures w14:val="none"/>
        </w:rPr>
        <w:t> </w:t>
      </w:r>
    </w:p>
    <w:p w:rsidR="00A97658" w:rsidRDefault="00A97658" w:rsidP="00A97658">
      <w:pPr>
        <w:spacing w:after="240"/>
        <w:contextualSpacing/>
        <w:rPr>
          <w:rFonts w:ascii="Calibri" w:hAnsi="Calibri" w:cs="Calibri"/>
          <w:b/>
          <w:bCs/>
          <w:color w:val="000000"/>
          <w:sz w:val="21"/>
          <w:szCs w:val="21"/>
        </w:rPr>
      </w:pPr>
    </w:p>
    <w:p w:rsidR="00A97658" w:rsidRDefault="00A97658" w:rsidP="00A97658">
      <w:pPr>
        <w:spacing w:after="240"/>
        <w:contextualSpacing/>
        <w:rPr>
          <w:rFonts w:ascii="Calibri" w:hAnsi="Calibri" w:cs="Calibri"/>
          <w:b/>
          <w:bCs/>
          <w:color w:val="000000"/>
          <w:sz w:val="21"/>
          <w:szCs w:val="21"/>
        </w:rPr>
      </w:pPr>
      <w:r w:rsidRPr="00A97658">
        <w:rPr>
          <w:rFonts w:ascii="Calibri" w:hAnsi="Calibri" w:cs="Calibri"/>
          <w:b/>
          <w:bCs/>
          <w:color w:val="000000"/>
          <w:sz w:val="21"/>
          <w:szCs w:val="21"/>
        </w:rPr>
        <w:t>Herzogliches Museum Gotha, Schlossplatz 2, 99867 Gotha</w:t>
      </w:r>
    </w:p>
    <w:p w:rsidR="00A97658" w:rsidRPr="00A97658" w:rsidRDefault="00A97658" w:rsidP="00A97658">
      <w:pPr>
        <w:spacing w:after="240"/>
        <w:contextualSpacing/>
        <w:rPr>
          <w:rFonts w:ascii="Calibri" w:hAnsi="Calibri" w:cs="Calibri"/>
          <w:b/>
          <w:bCs/>
          <w:color w:val="000000"/>
          <w:sz w:val="22"/>
          <w:szCs w:val="22"/>
        </w:rPr>
      </w:pPr>
      <w:r w:rsidRPr="00A97658">
        <w:rPr>
          <w:rFonts w:ascii="Calibri" w:hAnsi="Calibri" w:cs="Calibri"/>
          <w:b/>
          <w:bCs/>
          <w:color w:val="000000"/>
          <w:sz w:val="22"/>
          <w:szCs w:val="22"/>
        </w:rPr>
        <w:t>Laufzeit:05.09.2026 – 06.12.2026</w:t>
      </w:r>
    </w:p>
    <w:p w:rsidR="00A97658" w:rsidRPr="00A97658" w:rsidRDefault="00A97658" w:rsidP="00A97658">
      <w:pPr>
        <w:spacing w:after="240"/>
        <w:rPr>
          <w:rFonts w:ascii="Calibri" w:eastAsia="Times New Roman" w:hAnsi="Calibri" w:cs="Calibri"/>
          <w:b/>
          <w:bCs/>
          <w:color w:val="000000"/>
          <w:kern w:val="0"/>
          <w:lang w:eastAsia="de-DE"/>
          <w14:ligatures w14:val="none"/>
        </w:rPr>
      </w:pPr>
    </w:p>
    <w:p w:rsidR="00A97658" w:rsidRPr="00A97658" w:rsidRDefault="00A97658" w:rsidP="00A97658">
      <w:pPr>
        <w:spacing w:after="240"/>
        <w:jc w:val="both"/>
        <w:rPr>
          <w:rFonts w:ascii="Calibri" w:eastAsia="Times New Roman" w:hAnsi="Calibri" w:cs="Calibri"/>
          <w:color w:val="000000"/>
          <w:kern w:val="0"/>
          <w:sz w:val="22"/>
          <w:szCs w:val="22"/>
          <w:lang w:eastAsia="de-DE"/>
          <w14:ligatures w14:val="none"/>
        </w:rPr>
      </w:pPr>
      <w:r w:rsidRPr="00A97658">
        <w:rPr>
          <w:rFonts w:ascii="Calibri" w:eastAsia="Times New Roman" w:hAnsi="Calibri" w:cs="Calibri"/>
          <w:color w:val="000000"/>
          <w:kern w:val="0"/>
          <w:sz w:val="22"/>
          <w:szCs w:val="22"/>
          <w:lang w:eastAsia="de-DE"/>
          <w14:ligatures w14:val="none"/>
        </w:rPr>
        <w:t>Mit der </w:t>
      </w:r>
      <w:r w:rsidRPr="00A97658">
        <w:rPr>
          <w:rFonts w:ascii="Calibri" w:eastAsia="Times New Roman" w:hAnsi="Calibri" w:cs="Calibri"/>
          <w:b/>
          <w:bCs/>
          <w:color w:val="000000"/>
          <w:kern w:val="0"/>
          <w:sz w:val="22"/>
          <w:szCs w:val="22"/>
          <w:lang w:eastAsia="de-DE"/>
          <w14:ligatures w14:val="none"/>
        </w:rPr>
        <w:t>Sonderausstellung „Rembrandt 1632. Entstehung einer Marke“</w:t>
      </w:r>
      <w:r w:rsidRPr="00A97658">
        <w:rPr>
          <w:rFonts w:ascii="Calibri" w:eastAsia="Times New Roman" w:hAnsi="Calibri" w:cs="Calibri"/>
          <w:color w:val="000000"/>
          <w:kern w:val="0"/>
          <w:sz w:val="22"/>
          <w:szCs w:val="22"/>
          <w:lang w:eastAsia="de-DE"/>
          <w14:ligatures w14:val="none"/>
        </w:rPr>
        <w:t xml:space="preserve"> nimmt die Friedenstein Stiftung Gotha das wohl prägendste Jahr im Leben des berühmten holländischen Künstlers in den Blick. Rembrandt zieht von Leiden nach Amsterdam und tritt in die Werkstatt von Hendrick </w:t>
      </w:r>
      <w:proofErr w:type="spellStart"/>
      <w:r w:rsidRPr="00A97658">
        <w:rPr>
          <w:rFonts w:ascii="Calibri" w:eastAsia="Times New Roman" w:hAnsi="Calibri" w:cs="Calibri"/>
          <w:color w:val="000000"/>
          <w:kern w:val="0"/>
          <w:sz w:val="22"/>
          <w:szCs w:val="22"/>
          <w:lang w:eastAsia="de-DE"/>
          <w14:ligatures w14:val="none"/>
        </w:rPr>
        <w:t>Uylenburgh</w:t>
      </w:r>
      <w:proofErr w:type="spellEnd"/>
      <w:r w:rsidRPr="00A97658">
        <w:rPr>
          <w:rFonts w:ascii="Calibri" w:eastAsia="Times New Roman" w:hAnsi="Calibri" w:cs="Calibri"/>
          <w:color w:val="000000"/>
          <w:kern w:val="0"/>
          <w:sz w:val="22"/>
          <w:szCs w:val="22"/>
          <w:lang w:eastAsia="de-DE"/>
          <w14:ligatures w14:val="none"/>
        </w:rPr>
        <w:t xml:space="preserve"> ein, wo eine bedeutende Anzahl von Einzel- und Gruppenporträts entsteht. Er erschließt sich neue Auftraggeber und Käuferkreise und wird zu einem der maßgeblichen Porträtmaler. Gleichzeitig verändert er sein künstlerisches Profil. Die Sonderausstellung untersucht den Moment seines Durchbruchs im Jahr 1632. Hier beginnt Rembrandt seine Bildsprache gezielt zu schärfen und erstmals mit seinem Vornamen zu signieren. Die Marke </w:t>
      </w:r>
      <w:r w:rsidRPr="00A97658">
        <w:rPr>
          <w:rFonts w:ascii="Calibri" w:eastAsia="Times New Roman" w:hAnsi="Calibri" w:cs="Calibri"/>
          <w:b/>
          <w:bCs/>
          <w:color w:val="000000"/>
          <w:kern w:val="0"/>
          <w:sz w:val="22"/>
          <w:szCs w:val="22"/>
          <w:lang w:eastAsia="de-DE"/>
          <w14:ligatures w14:val="none"/>
        </w:rPr>
        <w:t>„Rembrandt“</w:t>
      </w:r>
      <w:r w:rsidRPr="00A97658">
        <w:rPr>
          <w:rFonts w:ascii="Calibri" w:eastAsia="Times New Roman" w:hAnsi="Calibri" w:cs="Calibri"/>
          <w:color w:val="000000"/>
          <w:kern w:val="0"/>
          <w:sz w:val="22"/>
          <w:szCs w:val="22"/>
          <w:lang w:eastAsia="de-DE"/>
          <w14:ligatures w14:val="none"/>
        </w:rPr>
        <w:t> ist geboren und wird zu einem Musterbeispiel</w:t>
      </w:r>
      <w:r w:rsidRPr="00A97658">
        <w:rPr>
          <w:rFonts w:ascii="Calibri" w:eastAsia="Times New Roman" w:hAnsi="Calibri" w:cs="Calibri"/>
          <w:b/>
          <w:bCs/>
          <w:color w:val="000000"/>
          <w:kern w:val="0"/>
          <w:sz w:val="22"/>
          <w:szCs w:val="22"/>
          <w:lang w:eastAsia="de-DE"/>
          <w14:ligatures w14:val="none"/>
        </w:rPr>
        <w:t> </w:t>
      </w:r>
      <w:r w:rsidRPr="00A97658">
        <w:rPr>
          <w:rFonts w:ascii="Calibri" w:eastAsia="Times New Roman" w:hAnsi="Calibri" w:cs="Calibri"/>
          <w:color w:val="000000"/>
          <w:kern w:val="0"/>
          <w:sz w:val="22"/>
          <w:szCs w:val="22"/>
          <w:lang w:eastAsia="de-DE"/>
          <w14:ligatures w14:val="none"/>
        </w:rPr>
        <w:t>für Selbstvermarktung und Markenbildung im 17. Jahrhundert. </w:t>
      </w:r>
    </w:p>
    <w:p w:rsidR="00A97658" w:rsidRPr="00A97658" w:rsidRDefault="00A97658" w:rsidP="00A97658">
      <w:pPr>
        <w:spacing w:after="240"/>
        <w:jc w:val="both"/>
        <w:rPr>
          <w:rFonts w:ascii="Calibri" w:eastAsia="Times New Roman" w:hAnsi="Calibri" w:cs="Calibri"/>
          <w:color w:val="000000"/>
          <w:kern w:val="0"/>
          <w:sz w:val="22"/>
          <w:szCs w:val="22"/>
          <w:lang w:eastAsia="de-DE"/>
          <w14:ligatures w14:val="none"/>
        </w:rPr>
      </w:pPr>
      <w:r w:rsidRPr="00A97658">
        <w:rPr>
          <w:rFonts w:ascii="Calibri" w:eastAsia="Times New Roman" w:hAnsi="Calibri" w:cs="Calibri"/>
          <w:color w:val="000000"/>
          <w:kern w:val="0"/>
          <w:sz w:val="22"/>
          <w:szCs w:val="22"/>
          <w:lang w:eastAsia="de-DE"/>
          <w14:ligatures w14:val="none"/>
        </w:rPr>
        <w:t>In der Residenzstadt Gotha trifft Rembrandt, auf dem Friedenstein, auf eine Universalsammlung mit 1,15 Millionen Objekten, bewahrt in einem historisch gewachsenen Ensemble aus barockem Schloss und Orangerie, englischem Landschaftsgarten und dem Herzoglichen Museum aus der Zeit des Historismus.</w:t>
      </w:r>
    </w:p>
    <w:p w:rsidR="00A97658" w:rsidRPr="00A97658" w:rsidRDefault="00A97658" w:rsidP="00A97658">
      <w:pPr>
        <w:jc w:val="both"/>
        <w:rPr>
          <w:rFonts w:ascii="Calibri" w:eastAsia="Times New Roman" w:hAnsi="Calibri" w:cs="Calibri"/>
          <w:color w:val="000000"/>
          <w:kern w:val="0"/>
          <w:sz w:val="22"/>
          <w:szCs w:val="22"/>
          <w:lang w:eastAsia="de-DE"/>
          <w14:ligatures w14:val="none"/>
        </w:rPr>
      </w:pPr>
      <w:r w:rsidRPr="00A97658">
        <w:rPr>
          <w:rFonts w:ascii="Calibri" w:eastAsia="Times New Roman" w:hAnsi="Calibri" w:cs="Calibri"/>
          <w:b/>
          <w:bCs/>
          <w:color w:val="000000"/>
          <w:kern w:val="0"/>
          <w:sz w:val="22"/>
          <w:szCs w:val="22"/>
          <w:lang w:eastAsia="de-DE"/>
          <w14:ligatures w14:val="none"/>
        </w:rPr>
        <w:t>Die internationale Rembrandt-Sonderausstellung „Rembrandt 1632. Entstehung einer Marke“ präsentiert mehr als 95 kostbare Exponate</w:t>
      </w:r>
      <w:r w:rsidRPr="00A97658">
        <w:rPr>
          <w:rFonts w:ascii="Calibri" w:eastAsia="Times New Roman" w:hAnsi="Calibri" w:cs="Calibri"/>
          <w:color w:val="000000"/>
          <w:kern w:val="0"/>
          <w:sz w:val="22"/>
          <w:szCs w:val="22"/>
          <w:lang w:eastAsia="de-DE"/>
          <w14:ligatures w14:val="none"/>
        </w:rPr>
        <w:t>. Davon 44 Leihgaben von 25 internationalen Leihgebern.</w:t>
      </w:r>
    </w:p>
    <w:p w:rsidR="00A97658" w:rsidRDefault="00A97658" w:rsidP="00A97658">
      <w:pPr>
        <w:jc w:val="both"/>
        <w:rPr>
          <w:rFonts w:ascii="Calibri" w:eastAsia="Times New Roman" w:hAnsi="Calibri" w:cs="Calibri"/>
          <w:color w:val="000000"/>
          <w:kern w:val="0"/>
          <w:sz w:val="22"/>
          <w:szCs w:val="22"/>
          <w:lang w:eastAsia="de-DE"/>
          <w14:ligatures w14:val="none"/>
        </w:rPr>
      </w:pPr>
      <w:r w:rsidRPr="00A97658">
        <w:rPr>
          <w:rFonts w:ascii="Calibri" w:eastAsia="Times New Roman" w:hAnsi="Calibri" w:cs="Calibri"/>
          <w:color w:val="000000"/>
          <w:kern w:val="0"/>
          <w:sz w:val="22"/>
          <w:szCs w:val="22"/>
          <w:lang w:eastAsia="de-DE"/>
          <w14:ligatures w14:val="none"/>
        </w:rPr>
        <w:t>Sie ist vom 5. September bis 6. Dezember 2026 in der Sonderausstellungshalle des Herzoglichen Museums Gotha zu sehen.</w:t>
      </w:r>
    </w:p>
    <w:p w:rsidR="00A97658" w:rsidRPr="00A97658" w:rsidRDefault="00A97658" w:rsidP="00A97658">
      <w:pPr>
        <w:jc w:val="both"/>
        <w:rPr>
          <w:rFonts w:ascii="Calibri" w:eastAsia="Times New Roman" w:hAnsi="Calibri" w:cs="Calibri"/>
          <w:color w:val="000000"/>
          <w:kern w:val="0"/>
          <w:sz w:val="22"/>
          <w:szCs w:val="22"/>
          <w:lang w:eastAsia="de-DE"/>
          <w14:ligatures w14:val="none"/>
        </w:rPr>
      </w:pPr>
      <w:hyperlink r:id="rId4" w:tooltip="https://www.friedensteine.de/artikel/rembrandt-1632-entstehung-einer-marke" w:history="1">
        <w:r w:rsidRPr="00A97658">
          <w:rPr>
            <w:rFonts w:ascii="Calibri" w:eastAsia="Times New Roman" w:hAnsi="Calibri" w:cs="Calibri"/>
            <w:color w:val="0563C1"/>
            <w:kern w:val="0"/>
            <w:sz w:val="22"/>
            <w:szCs w:val="22"/>
            <w:u w:val="single"/>
            <w:lang w:eastAsia="de-DE"/>
            <w14:ligatures w14:val="none"/>
          </w:rPr>
          <w:t>https://www.friedensteine.de/artikel/rembrandt-1632-entstehung-einer-marke</w:t>
        </w:r>
      </w:hyperlink>
    </w:p>
    <w:p w:rsidR="00DA3012" w:rsidRDefault="00DA3012" w:rsidP="00A97658">
      <w:pPr>
        <w:jc w:val="both"/>
      </w:pPr>
    </w:p>
    <w:sectPr w:rsidR="00DA301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658"/>
    <w:rsid w:val="008504F9"/>
    <w:rsid w:val="00A97658"/>
    <w:rsid w:val="00DA30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7E60F79F"/>
  <w15:chartTrackingRefBased/>
  <w15:docId w15:val="{9D3AF133-E8FB-AC4E-939D-010F6131F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pple-converted-space">
    <w:name w:val="apple-converted-space"/>
    <w:basedOn w:val="Absatz-Standardschriftart"/>
    <w:rsid w:val="00A97658"/>
  </w:style>
  <w:style w:type="character" w:styleId="Fett">
    <w:name w:val="Strong"/>
    <w:basedOn w:val="Absatz-Standardschriftart"/>
    <w:uiPriority w:val="22"/>
    <w:qFormat/>
    <w:rsid w:val="00A97658"/>
    <w:rPr>
      <w:b/>
      <w:bCs/>
    </w:rPr>
  </w:style>
  <w:style w:type="character" w:styleId="Hyperlink">
    <w:name w:val="Hyperlink"/>
    <w:basedOn w:val="Absatz-Standardschriftart"/>
    <w:uiPriority w:val="99"/>
    <w:semiHidden/>
    <w:unhideWhenUsed/>
    <w:rsid w:val="00A976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2874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friedensteine.de/artikel/rembrandt-1632-entstehung-einer-mark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251</Words>
  <Characters>1587</Characters>
  <Application>Microsoft Office Word</Application>
  <DocSecurity>0</DocSecurity>
  <Lines>13</Lines>
  <Paragraphs>3</Paragraphs>
  <ScaleCrop>false</ScaleCrop>
  <Company/>
  <LinksUpToDate>false</LinksUpToDate>
  <CharactersWithSpaces>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Spindler</dc:creator>
  <cp:keywords/>
  <dc:description/>
  <cp:lastModifiedBy>Thomas Spindler</cp:lastModifiedBy>
  <cp:revision>1</cp:revision>
  <dcterms:created xsi:type="dcterms:W3CDTF">2026-08-24T13:22:00Z</dcterms:created>
  <dcterms:modified xsi:type="dcterms:W3CDTF">2026-08-24T13:27:00Z</dcterms:modified>
</cp:coreProperties>
</file>